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4F68E" w14:textId="27178DCB" w:rsidR="007A1444" w:rsidRDefault="00C52827">
      <w:r>
        <w:t>BR19 – kratek izsek iz OPN Hrastnik</w:t>
      </w:r>
    </w:p>
    <w:p w14:paraId="494EE40B" w14:textId="7C8F7BCB" w:rsidR="001D3D50" w:rsidRDefault="00023BFB">
      <w:r>
        <w:t>Odlok o Občinskem prostorskem načrtu Občine Hrastnik (UVZ, št. 2/16)</w:t>
      </w:r>
    </w:p>
    <w:p w14:paraId="5C40AE89" w14:textId="77777777" w:rsidR="001D3D50" w:rsidRPr="001D3D50" w:rsidRDefault="001D3D50" w:rsidP="001D3D50">
      <w:pPr>
        <w:rPr>
          <w:i/>
        </w:rPr>
      </w:pPr>
      <w:r w:rsidRPr="001D3D50">
        <w:t>OPN Hrastnik, odlok, priloga 1:</w:t>
      </w:r>
    </w:p>
    <w:p w14:paraId="02812889" w14:textId="5AEBC259" w:rsidR="001D3D50" w:rsidRDefault="001D3D50">
      <w:r w:rsidRPr="001D3D50">
        <w:rPr>
          <w:i/>
        </w:rPr>
        <w:t>specifikacija enot urejanja prostora (EUP) (126. člen)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
        <w:gridCol w:w="1070"/>
        <w:gridCol w:w="17"/>
        <w:gridCol w:w="701"/>
        <w:gridCol w:w="7"/>
        <w:gridCol w:w="619"/>
        <w:gridCol w:w="1410"/>
        <w:gridCol w:w="17"/>
        <w:gridCol w:w="5609"/>
      </w:tblGrid>
      <w:tr w:rsidR="001D3D50" w:rsidRPr="00D812E3" w14:paraId="57CF4E2A" w14:textId="77777777" w:rsidTr="001D3D50">
        <w:trPr>
          <w:trHeight w:val="420"/>
        </w:trPr>
        <w:tc>
          <w:tcPr>
            <w:tcW w:w="1418" w:type="dxa"/>
            <w:gridSpan w:val="3"/>
            <w:noWrap/>
          </w:tcPr>
          <w:p w14:paraId="20367E70" w14:textId="77777777" w:rsidR="001D3D50" w:rsidRPr="00FF5CC4" w:rsidRDefault="001D3D50" w:rsidP="00176D8E">
            <w:pPr>
              <w:pStyle w:val="Naslov"/>
              <w:rPr>
                <w:rFonts w:ascii="Tahoma" w:hAnsi="Tahoma" w:cs="Tahoma"/>
                <w:sz w:val="24"/>
                <w:szCs w:val="24"/>
                <w:lang w:eastAsia="sl-SI"/>
              </w:rPr>
            </w:pPr>
            <w:r w:rsidRPr="00FF5CC4">
              <w:rPr>
                <w:rFonts w:ascii="Tahoma" w:hAnsi="Tahoma" w:cs="Tahoma"/>
                <w:sz w:val="24"/>
                <w:szCs w:val="24"/>
                <w:lang w:eastAsia="sl-SI"/>
              </w:rPr>
              <w:t>oznaka EUP</w:t>
            </w:r>
          </w:p>
        </w:tc>
        <w:tc>
          <w:tcPr>
            <w:tcW w:w="708" w:type="dxa"/>
            <w:gridSpan w:val="2"/>
          </w:tcPr>
          <w:p w14:paraId="659D52A5" w14:textId="77777777" w:rsidR="001D3D50" w:rsidRPr="00D812E3" w:rsidRDefault="001D3D50" w:rsidP="00176D8E">
            <w:pPr>
              <w:spacing w:line="240" w:lineRule="auto"/>
              <w:jc w:val="center"/>
              <w:rPr>
                <w:i/>
                <w:iCs/>
                <w:sz w:val="16"/>
                <w:szCs w:val="16"/>
                <w:lang w:eastAsia="sl-SI"/>
              </w:rPr>
            </w:pPr>
          </w:p>
        </w:tc>
        <w:tc>
          <w:tcPr>
            <w:tcW w:w="619" w:type="dxa"/>
            <w:noWrap/>
          </w:tcPr>
          <w:p w14:paraId="5F787A7A" w14:textId="77777777" w:rsidR="001D3D50" w:rsidRPr="00D812E3" w:rsidRDefault="001D3D50" w:rsidP="00176D8E">
            <w:pPr>
              <w:spacing w:line="240" w:lineRule="auto"/>
              <w:jc w:val="center"/>
              <w:rPr>
                <w:i/>
                <w:iCs/>
                <w:sz w:val="16"/>
                <w:szCs w:val="16"/>
                <w:lang w:eastAsia="sl-SI"/>
              </w:rPr>
            </w:pPr>
            <w:r w:rsidRPr="00D812E3">
              <w:rPr>
                <w:i/>
                <w:iCs/>
                <w:sz w:val="16"/>
                <w:szCs w:val="16"/>
                <w:lang w:eastAsia="sl-SI"/>
              </w:rPr>
              <w:t> </w:t>
            </w:r>
          </w:p>
        </w:tc>
        <w:tc>
          <w:tcPr>
            <w:tcW w:w="1410" w:type="dxa"/>
            <w:vMerge w:val="restart"/>
          </w:tcPr>
          <w:p w14:paraId="2BFF81CC" w14:textId="77777777" w:rsidR="001D3D50" w:rsidRPr="00D812E3" w:rsidRDefault="001D3D50" w:rsidP="00176D8E">
            <w:pPr>
              <w:spacing w:line="240" w:lineRule="auto"/>
              <w:jc w:val="center"/>
              <w:rPr>
                <w:i/>
                <w:iCs/>
                <w:sz w:val="16"/>
                <w:szCs w:val="16"/>
                <w:lang w:eastAsia="sl-SI"/>
              </w:rPr>
            </w:pPr>
            <w:r w:rsidRPr="00D812E3">
              <w:rPr>
                <w:i/>
                <w:iCs/>
                <w:sz w:val="16"/>
                <w:szCs w:val="16"/>
                <w:lang w:eastAsia="sl-SI"/>
              </w:rPr>
              <w:t>naziv tipa/podtipa GE v EUP</w:t>
            </w:r>
          </w:p>
        </w:tc>
        <w:tc>
          <w:tcPr>
            <w:tcW w:w="5626" w:type="dxa"/>
            <w:gridSpan w:val="2"/>
          </w:tcPr>
          <w:p w14:paraId="04234308" w14:textId="77777777" w:rsidR="001D3D50" w:rsidRPr="00D812E3" w:rsidRDefault="001D3D50" w:rsidP="00176D8E">
            <w:pPr>
              <w:spacing w:line="240" w:lineRule="auto"/>
              <w:rPr>
                <w:i/>
                <w:iCs/>
                <w:sz w:val="16"/>
                <w:szCs w:val="16"/>
                <w:lang w:eastAsia="sl-SI"/>
              </w:rPr>
            </w:pPr>
            <w:r w:rsidRPr="00D812E3">
              <w:rPr>
                <w:i/>
                <w:iCs/>
                <w:sz w:val="16"/>
                <w:szCs w:val="16"/>
                <w:lang w:eastAsia="sl-SI"/>
              </w:rPr>
              <w:t xml:space="preserve">posebna merila in pogoji / OPPN </w:t>
            </w:r>
          </w:p>
        </w:tc>
      </w:tr>
      <w:tr w:rsidR="001D3D50" w:rsidRPr="00D812E3" w14:paraId="65055F68" w14:textId="77777777" w:rsidTr="001D3D50">
        <w:trPr>
          <w:trHeight w:val="1176"/>
        </w:trPr>
        <w:tc>
          <w:tcPr>
            <w:tcW w:w="331" w:type="dxa"/>
            <w:noWrap/>
            <w:textDirection w:val="btLr"/>
          </w:tcPr>
          <w:p w14:paraId="46F68D4E" w14:textId="77777777" w:rsidR="001D3D50" w:rsidRPr="00D812E3" w:rsidRDefault="001D3D50" w:rsidP="00176D8E">
            <w:pPr>
              <w:spacing w:line="240" w:lineRule="auto"/>
              <w:jc w:val="center"/>
              <w:rPr>
                <w:i/>
                <w:iCs/>
                <w:sz w:val="12"/>
                <w:szCs w:val="12"/>
                <w:lang w:eastAsia="sl-SI"/>
              </w:rPr>
            </w:pPr>
            <w:r w:rsidRPr="00D812E3">
              <w:rPr>
                <w:i/>
                <w:iCs/>
                <w:sz w:val="12"/>
                <w:szCs w:val="12"/>
                <w:lang w:eastAsia="sl-SI"/>
              </w:rPr>
              <w:t xml:space="preserve"> oznaka naselja</w:t>
            </w:r>
          </w:p>
        </w:tc>
        <w:tc>
          <w:tcPr>
            <w:tcW w:w="1087" w:type="dxa"/>
            <w:gridSpan w:val="2"/>
            <w:noWrap/>
            <w:textDirection w:val="btLr"/>
          </w:tcPr>
          <w:p w14:paraId="7B97C053" w14:textId="77777777" w:rsidR="001D3D50" w:rsidRPr="00D812E3" w:rsidRDefault="001D3D50" w:rsidP="00176D8E">
            <w:pPr>
              <w:spacing w:line="240" w:lineRule="auto"/>
              <w:jc w:val="center"/>
              <w:rPr>
                <w:i/>
                <w:iCs/>
                <w:sz w:val="12"/>
                <w:szCs w:val="12"/>
                <w:lang w:eastAsia="sl-SI"/>
              </w:rPr>
            </w:pPr>
            <w:r w:rsidRPr="00D812E3">
              <w:rPr>
                <w:i/>
                <w:iCs/>
                <w:sz w:val="12"/>
                <w:szCs w:val="12"/>
                <w:lang w:eastAsia="sl-SI"/>
              </w:rPr>
              <w:t xml:space="preserve"> zaporedna številka</w:t>
            </w:r>
          </w:p>
          <w:p w14:paraId="07BA2BF0" w14:textId="77777777" w:rsidR="001D3D50" w:rsidRPr="00D812E3" w:rsidRDefault="001D3D50" w:rsidP="00176D8E">
            <w:pPr>
              <w:spacing w:line="240" w:lineRule="auto"/>
              <w:rPr>
                <w:b/>
                <w:bCs/>
                <w:i/>
                <w:iCs/>
                <w:sz w:val="12"/>
                <w:szCs w:val="12"/>
                <w:lang w:eastAsia="sl-SI"/>
              </w:rPr>
            </w:pPr>
            <w:r w:rsidRPr="00D812E3">
              <w:rPr>
                <w:b/>
                <w:bCs/>
                <w:i/>
                <w:iCs/>
                <w:sz w:val="12"/>
                <w:szCs w:val="12"/>
                <w:lang w:eastAsia="sl-SI"/>
              </w:rPr>
              <w:t>.</w:t>
            </w:r>
          </w:p>
          <w:p w14:paraId="0C344C5D" w14:textId="77777777" w:rsidR="001D3D50" w:rsidRPr="00D812E3" w:rsidRDefault="001D3D50" w:rsidP="00176D8E">
            <w:pPr>
              <w:rPr>
                <w:sz w:val="12"/>
                <w:szCs w:val="12"/>
                <w:lang w:eastAsia="sl-SI"/>
              </w:rPr>
            </w:pPr>
          </w:p>
          <w:p w14:paraId="4D624BC6" w14:textId="77777777" w:rsidR="001D3D50" w:rsidRPr="00D812E3" w:rsidRDefault="001D3D50" w:rsidP="00176D8E">
            <w:pPr>
              <w:spacing w:line="240" w:lineRule="auto"/>
              <w:jc w:val="center"/>
              <w:rPr>
                <w:i/>
                <w:iCs/>
                <w:sz w:val="12"/>
                <w:szCs w:val="12"/>
                <w:lang w:eastAsia="sl-SI"/>
              </w:rPr>
            </w:pPr>
          </w:p>
        </w:tc>
        <w:tc>
          <w:tcPr>
            <w:tcW w:w="708" w:type="dxa"/>
            <w:gridSpan w:val="2"/>
            <w:textDirection w:val="btLr"/>
          </w:tcPr>
          <w:p w14:paraId="4F01C96A" w14:textId="77777777" w:rsidR="001D3D50" w:rsidRPr="00D812E3" w:rsidRDefault="001D3D50" w:rsidP="00176D8E">
            <w:pPr>
              <w:spacing w:line="240" w:lineRule="auto"/>
              <w:jc w:val="center"/>
              <w:rPr>
                <w:i/>
                <w:iCs/>
                <w:sz w:val="12"/>
                <w:szCs w:val="12"/>
                <w:lang w:eastAsia="sl-SI"/>
              </w:rPr>
            </w:pPr>
            <w:r w:rsidRPr="00D812E3">
              <w:rPr>
                <w:i/>
                <w:iCs/>
                <w:sz w:val="12"/>
                <w:szCs w:val="12"/>
                <w:lang w:eastAsia="sl-SI"/>
              </w:rPr>
              <w:t xml:space="preserve">oznaka tipa GE                         </w:t>
            </w:r>
            <w:r w:rsidRPr="00D812E3">
              <w:rPr>
                <w:i/>
                <w:iCs/>
                <w:color w:val="FFFFFF"/>
                <w:sz w:val="12"/>
                <w:szCs w:val="12"/>
                <w:lang w:eastAsia="sl-SI"/>
              </w:rPr>
              <w:t xml:space="preserve"> .</w:t>
            </w:r>
            <w:r w:rsidRPr="00D812E3">
              <w:rPr>
                <w:i/>
                <w:iCs/>
                <w:sz w:val="12"/>
                <w:szCs w:val="12"/>
                <w:lang w:eastAsia="sl-SI"/>
              </w:rPr>
              <w:t>(gradbene  enote)</w:t>
            </w:r>
          </w:p>
        </w:tc>
        <w:tc>
          <w:tcPr>
            <w:tcW w:w="619" w:type="dxa"/>
            <w:textDirection w:val="btLr"/>
          </w:tcPr>
          <w:p w14:paraId="1298C339" w14:textId="77777777" w:rsidR="001D3D50" w:rsidRPr="00D812E3" w:rsidRDefault="001D3D50" w:rsidP="00176D8E">
            <w:pPr>
              <w:spacing w:line="240" w:lineRule="auto"/>
              <w:jc w:val="center"/>
              <w:rPr>
                <w:i/>
                <w:iCs/>
                <w:sz w:val="12"/>
                <w:szCs w:val="12"/>
                <w:lang w:eastAsia="sl-SI"/>
              </w:rPr>
            </w:pPr>
            <w:r w:rsidRPr="00D812E3">
              <w:rPr>
                <w:i/>
                <w:iCs/>
                <w:sz w:val="12"/>
                <w:szCs w:val="12"/>
                <w:lang w:eastAsia="sl-SI"/>
              </w:rPr>
              <w:t>pnrp</w:t>
            </w:r>
          </w:p>
        </w:tc>
        <w:tc>
          <w:tcPr>
            <w:tcW w:w="1410" w:type="dxa"/>
            <w:vMerge/>
          </w:tcPr>
          <w:p w14:paraId="098621C6" w14:textId="77777777" w:rsidR="001D3D50" w:rsidRPr="00D812E3" w:rsidRDefault="001D3D50" w:rsidP="00176D8E">
            <w:pPr>
              <w:spacing w:line="240" w:lineRule="auto"/>
              <w:rPr>
                <w:i/>
                <w:iCs/>
                <w:sz w:val="16"/>
                <w:szCs w:val="16"/>
                <w:lang w:eastAsia="sl-SI"/>
              </w:rPr>
            </w:pPr>
          </w:p>
        </w:tc>
        <w:tc>
          <w:tcPr>
            <w:tcW w:w="5626" w:type="dxa"/>
            <w:gridSpan w:val="2"/>
          </w:tcPr>
          <w:p w14:paraId="79CA6804" w14:textId="77777777" w:rsidR="001D3D50" w:rsidRPr="00D812E3" w:rsidRDefault="001D3D50" w:rsidP="00176D8E">
            <w:pPr>
              <w:spacing w:line="240" w:lineRule="auto"/>
              <w:jc w:val="center"/>
              <w:rPr>
                <w:i/>
                <w:iCs/>
                <w:sz w:val="16"/>
                <w:szCs w:val="16"/>
                <w:lang w:eastAsia="sl-SI"/>
              </w:rPr>
            </w:pPr>
          </w:p>
        </w:tc>
      </w:tr>
      <w:tr w:rsidR="001D3D50" w:rsidRPr="001D3D50" w14:paraId="2409E85A" w14:textId="77777777" w:rsidTr="001D3D50">
        <w:trPr>
          <w:trHeight w:val="2052"/>
        </w:trPr>
        <w:tc>
          <w:tcPr>
            <w:tcW w:w="1401" w:type="dxa"/>
            <w:gridSpan w:val="2"/>
            <w:noWrap/>
          </w:tcPr>
          <w:p w14:paraId="649EEAF9" w14:textId="77777777" w:rsidR="001D3D50" w:rsidRPr="001D3D50" w:rsidRDefault="001D3D50" w:rsidP="001D3D50">
            <w:pPr>
              <w:rPr>
                <w:b/>
                <w:bCs/>
              </w:rPr>
            </w:pPr>
            <w:r w:rsidRPr="001D3D50">
              <w:rPr>
                <w:b/>
                <w:bCs/>
              </w:rPr>
              <w:t>BR19</w:t>
            </w:r>
          </w:p>
        </w:tc>
        <w:tc>
          <w:tcPr>
            <w:tcW w:w="718" w:type="dxa"/>
            <w:gridSpan w:val="2"/>
          </w:tcPr>
          <w:p w14:paraId="3FA92FAB" w14:textId="77777777" w:rsidR="001D3D50" w:rsidRPr="001D3D50" w:rsidRDefault="001D3D50" w:rsidP="001D3D50">
            <w:pPr>
              <w:rPr>
                <w:b/>
              </w:rPr>
            </w:pPr>
            <w:r w:rsidRPr="001D3D50">
              <w:rPr>
                <w:b/>
              </w:rPr>
              <w:t>gs</w:t>
            </w:r>
          </w:p>
        </w:tc>
        <w:tc>
          <w:tcPr>
            <w:tcW w:w="626" w:type="dxa"/>
            <w:gridSpan w:val="2"/>
            <w:noWrap/>
          </w:tcPr>
          <w:p w14:paraId="58968B76" w14:textId="77777777" w:rsidR="001D3D50" w:rsidRPr="001D3D50" w:rsidRDefault="001D3D50" w:rsidP="001D3D50">
            <w:r w:rsidRPr="001D3D50">
              <w:t>IG</w:t>
            </w:r>
          </w:p>
        </w:tc>
        <w:tc>
          <w:tcPr>
            <w:tcW w:w="1427" w:type="dxa"/>
            <w:gridSpan w:val="2"/>
          </w:tcPr>
          <w:p w14:paraId="22710DA1" w14:textId="77777777" w:rsidR="001D3D50" w:rsidRPr="001D3D50" w:rsidRDefault="001D3D50" w:rsidP="001D3D50">
            <w:r w:rsidRPr="001D3D50">
              <w:t>GE                                               gospodarske stavbe</w:t>
            </w:r>
          </w:p>
        </w:tc>
        <w:tc>
          <w:tcPr>
            <w:tcW w:w="5609" w:type="dxa"/>
          </w:tcPr>
          <w:p w14:paraId="66249235" w14:textId="77777777" w:rsidR="001D3D50" w:rsidRPr="001D3D50" w:rsidRDefault="001D3D50" w:rsidP="001D3D50">
            <w:r w:rsidRPr="001D3D50">
              <w:rPr>
                <w:u w:val="single"/>
              </w:rPr>
              <w:t>Glavna stavba se lahko oblikuje po merilih</w:t>
            </w:r>
            <w:r w:rsidRPr="001D3D50">
              <w:t xml:space="preserve"> </w:t>
            </w:r>
            <w:r w:rsidRPr="001D3D50">
              <w:rPr>
                <w:u w:val="single"/>
              </w:rPr>
              <w:t>gospodarske stavbe ali modernistične javne stavbe.</w:t>
            </w:r>
            <w:r w:rsidRPr="001D3D50">
              <w:t xml:space="preserve"> Število glavne in pomožnih stavb na GE je omejeno z FZ, ki znaša največ 0.8. Na delu območja, ki spada v razred majhne, preostale in srednje poplavne nevarnosti, veljajo omejitve po Uredbi o pogojih in omejitvah za izvajanje dejavnosti in posegov v prostor na območjih, ogroženih zaradi poplav in z njimi povezane erozije celinskih voda in morja (Ur. l. RS, št. 89/08). Za območje se upoštevajo merila ohranjanja narave v tč. (23) oz. (24) iz 44. člena odloka. Za varstvo pridobivalnega prostora mineralnih surovin (za 3. cono oz. 4. cono) veljajo merila iz 43. člena odloka.</w:t>
            </w:r>
          </w:p>
        </w:tc>
      </w:tr>
    </w:tbl>
    <w:p w14:paraId="0DF523E9" w14:textId="0A875430" w:rsidR="001D3D50" w:rsidRDefault="001D3D50"/>
    <w:p w14:paraId="04B56BB1" w14:textId="4E040AA1" w:rsidR="001D3D50" w:rsidRDefault="00023BFB">
      <w:r w:rsidRPr="001D3D50">
        <w:t xml:space="preserve">OPN Hrastnik, odlok, </w:t>
      </w:r>
      <w:r>
        <w:t>izvedbeni del - izsek</w:t>
      </w:r>
    </w:p>
    <w:p w14:paraId="32D907E6" w14:textId="77777777" w:rsidR="001D3D50" w:rsidRPr="001D3D50" w:rsidRDefault="001D3D50" w:rsidP="001D3D50">
      <w:r w:rsidRPr="001D3D50">
        <w:t>93. člen</w:t>
      </w:r>
    </w:p>
    <w:p w14:paraId="4B10C6AA" w14:textId="77777777" w:rsidR="001D3D50" w:rsidRPr="001D3D50" w:rsidRDefault="001D3D50" w:rsidP="001D3D50">
      <w:r w:rsidRPr="001D3D50">
        <w:t>3.4.2.2.13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6814"/>
      </w:tblGrid>
      <w:tr w:rsidR="001D3D50" w:rsidRPr="001D3D50" w14:paraId="355F34E2" w14:textId="77777777" w:rsidTr="00176D8E">
        <w:tc>
          <w:tcPr>
            <w:tcW w:w="9271" w:type="dxa"/>
            <w:gridSpan w:val="2"/>
            <w:shd w:val="clear" w:color="auto" w:fill="E0E0E0"/>
          </w:tcPr>
          <w:p w14:paraId="5DA245DE" w14:textId="77777777" w:rsidR="001D3D50" w:rsidRPr="001D3D50" w:rsidRDefault="001D3D50" w:rsidP="001D3D50">
            <w:r w:rsidRPr="001D3D50">
              <w:t>gs - GE gospodarske stavbe</w:t>
            </w:r>
          </w:p>
        </w:tc>
      </w:tr>
      <w:tr w:rsidR="001D3D50" w:rsidRPr="001D3D50" w14:paraId="66B0E725" w14:textId="77777777" w:rsidTr="00176D8E">
        <w:tc>
          <w:tcPr>
            <w:tcW w:w="9271" w:type="dxa"/>
            <w:gridSpan w:val="2"/>
          </w:tcPr>
          <w:p w14:paraId="207C96C6" w14:textId="77777777" w:rsidR="001D3D50" w:rsidRPr="001D3D50" w:rsidRDefault="001D3D50" w:rsidP="001D3D50">
            <w:r w:rsidRPr="001D3D50">
              <w:t>1.0</w:t>
            </w:r>
            <w:r w:rsidRPr="001D3D50">
              <w:tab/>
              <w:t>Namembnost GE</w:t>
            </w:r>
          </w:p>
        </w:tc>
      </w:tr>
      <w:tr w:rsidR="001D3D50" w:rsidRPr="001D3D50" w14:paraId="4281F151" w14:textId="77777777" w:rsidTr="00176D8E">
        <w:tc>
          <w:tcPr>
            <w:tcW w:w="9271" w:type="dxa"/>
            <w:gridSpan w:val="2"/>
          </w:tcPr>
          <w:p w14:paraId="2BA05FA4" w14:textId="77777777" w:rsidR="001D3D50" w:rsidRPr="001D3D50" w:rsidRDefault="001D3D50" w:rsidP="001D3D50">
            <w:r w:rsidRPr="001D3D50">
              <w:t xml:space="preserve">PNRP: IG. Namenjena je lahko sekundarni, terciarni in kvartarni dejavnosti ter skladiščenju. Na GE povezanimi s pridobivanjem mineralnih surovin namenjena tudi rudarstvu – dejavnosti primarnega sektorja. </w:t>
            </w:r>
          </w:p>
        </w:tc>
      </w:tr>
      <w:tr w:rsidR="001D3D50" w:rsidRPr="001D3D50" w14:paraId="1E7B4693" w14:textId="77777777" w:rsidTr="00176D8E">
        <w:tc>
          <w:tcPr>
            <w:tcW w:w="9271" w:type="dxa"/>
            <w:gridSpan w:val="2"/>
          </w:tcPr>
          <w:p w14:paraId="0E1388FF" w14:textId="77777777" w:rsidR="001D3D50" w:rsidRPr="001D3D50" w:rsidRDefault="001D3D50" w:rsidP="001D3D50">
            <w:r w:rsidRPr="001D3D50">
              <w:t>2.0</w:t>
            </w:r>
            <w:r w:rsidRPr="001D3D50">
              <w:tab/>
              <w:t>Dopustni tipi stavb na GE</w:t>
            </w:r>
          </w:p>
        </w:tc>
      </w:tr>
      <w:tr w:rsidR="001D3D50" w:rsidRPr="001D3D50" w14:paraId="54BB3F04" w14:textId="77777777" w:rsidTr="00176D8E">
        <w:tc>
          <w:tcPr>
            <w:tcW w:w="2268" w:type="dxa"/>
          </w:tcPr>
          <w:p w14:paraId="7A4F481F" w14:textId="77777777" w:rsidR="001D3D50" w:rsidRPr="001D3D50" w:rsidRDefault="001D3D50" w:rsidP="001D3D50">
            <w:r w:rsidRPr="001D3D50">
              <w:t>2.1</w:t>
            </w:r>
            <w:r w:rsidRPr="001D3D50">
              <w:tab/>
              <w:t xml:space="preserve">Tip glavne stavbe (3.4.3.6) </w:t>
            </w:r>
          </w:p>
        </w:tc>
        <w:tc>
          <w:tcPr>
            <w:tcW w:w="7003" w:type="dxa"/>
          </w:tcPr>
          <w:p w14:paraId="4E8EBB7B" w14:textId="77777777" w:rsidR="001D3D50" w:rsidRPr="001D3D50" w:rsidRDefault="001D3D50" w:rsidP="001D3D50">
            <w:r w:rsidRPr="001D3D50">
              <w:t xml:space="preserve">Gospodarska stavba, modernistična javna stavba in trško mestna hiša. Dopustna je izgradnja ene ali več glavnih stavb. Vrsta proizvodnje in obveznost izgradnje dejavnosti primernega manipulacijskega prostora (dovoz, skladiščenje, deponije…) določajo število glavnih stavb na GE. </w:t>
            </w:r>
          </w:p>
        </w:tc>
      </w:tr>
      <w:tr w:rsidR="001D3D50" w:rsidRPr="001D3D50" w14:paraId="1677557F" w14:textId="77777777" w:rsidTr="00176D8E">
        <w:tc>
          <w:tcPr>
            <w:tcW w:w="2268" w:type="dxa"/>
          </w:tcPr>
          <w:p w14:paraId="2E6D546C" w14:textId="77777777" w:rsidR="001D3D50" w:rsidRPr="001D3D50" w:rsidRDefault="001D3D50" w:rsidP="001D3D50">
            <w:r w:rsidRPr="001D3D50">
              <w:lastRenderedPageBreak/>
              <w:t>2.2</w:t>
            </w:r>
            <w:r w:rsidRPr="001D3D50">
              <w:tab/>
              <w:t>Pomožne stavbe (3.4.3.7) – število, število etaž</w:t>
            </w:r>
          </w:p>
        </w:tc>
        <w:tc>
          <w:tcPr>
            <w:tcW w:w="7003" w:type="dxa"/>
          </w:tcPr>
          <w:p w14:paraId="334C7027" w14:textId="77777777" w:rsidR="001D3D50" w:rsidRPr="001D3D50" w:rsidRDefault="001D3D50" w:rsidP="001D3D50">
            <w:r w:rsidRPr="001D3D50">
              <w:t>Lahko se gradi največ tri pomožne stavbe po določilih 124. člena. Ob tem se lahko pomožne stavbe gradijo tudi po Uredbi kot enostavni oziroma nezahtevni objekti v skladu s predpisom o razvrščanju objektov glede na zahtevnost gradnje: lopa, garaža, nadstrešnica, skladišče in podobne stavbe.</w:t>
            </w:r>
          </w:p>
        </w:tc>
      </w:tr>
      <w:tr w:rsidR="001D3D50" w:rsidRPr="001D3D50" w14:paraId="1E936174" w14:textId="77777777" w:rsidTr="00176D8E">
        <w:tc>
          <w:tcPr>
            <w:tcW w:w="2268" w:type="dxa"/>
          </w:tcPr>
          <w:p w14:paraId="7B17ADFE" w14:textId="77777777" w:rsidR="001D3D50" w:rsidRPr="001D3D50" w:rsidRDefault="001D3D50" w:rsidP="001D3D50">
            <w:r w:rsidRPr="001D3D50">
              <w:t>2.3</w:t>
            </w:r>
            <w:r w:rsidRPr="001D3D50">
              <w:tab/>
              <w:t xml:space="preserve">Drugi dopustni nezahtevni in enostavni objekti (razen stavb) </w:t>
            </w:r>
          </w:p>
        </w:tc>
        <w:tc>
          <w:tcPr>
            <w:tcW w:w="7003" w:type="dxa"/>
          </w:tcPr>
          <w:p w14:paraId="567AE6B4" w14:textId="77777777" w:rsidR="001D3D50" w:rsidRPr="001D3D50" w:rsidRDefault="001D3D50" w:rsidP="001D3D50">
            <w:r w:rsidRPr="001D3D50">
              <w:t xml:space="preserve">Podporni zidovi z ograjo, parkirišče, ograja, vodomet, vodnjak, vodno zajetje in objekte za akumulacijo vode in namakanje (okrasni bazen, , namakalni sistem, vodni zbiralnik), kolesarska pot, pešpot ipd, pomožni komunalni objekti (ekološki otok, MČN), </w:t>
            </w:r>
            <w:r w:rsidRPr="001D3D50">
              <w:rPr>
                <w:bCs/>
              </w:rPr>
              <w:t>pomožni komunalni objekti</w:t>
            </w:r>
            <w:r w:rsidRPr="001D3D50">
              <w:t xml:space="preserve">, priključki na objekte gospodarske javne infrastrukture, </w:t>
            </w:r>
          </w:p>
          <w:p w14:paraId="43F163ED" w14:textId="77777777" w:rsidR="001D3D50" w:rsidRPr="001D3D50" w:rsidRDefault="001D3D50" w:rsidP="001D3D50">
            <w:r w:rsidRPr="001D3D50">
              <w:t>pomožni objekti v javni rabi, objekti za oglaševanje,  grajena urbana oprema, objekti namenjeni sezonski turistični ponudbi ali prireditvam ter športna igrišča na prostem.</w:t>
            </w:r>
          </w:p>
        </w:tc>
      </w:tr>
      <w:tr w:rsidR="001D3D50" w:rsidRPr="001D3D50" w14:paraId="1C36810E" w14:textId="77777777" w:rsidTr="00176D8E">
        <w:tc>
          <w:tcPr>
            <w:tcW w:w="9271" w:type="dxa"/>
            <w:gridSpan w:val="2"/>
          </w:tcPr>
          <w:p w14:paraId="170E5744" w14:textId="77777777" w:rsidR="001D3D50" w:rsidRPr="001D3D50" w:rsidRDefault="001D3D50" w:rsidP="001D3D50">
            <w:r w:rsidRPr="001D3D50">
              <w:t>3.0</w:t>
            </w:r>
            <w:r w:rsidRPr="001D3D50">
              <w:tab/>
              <w:t>Organizacija in urbanistično oblikovanje GE</w:t>
            </w:r>
          </w:p>
        </w:tc>
      </w:tr>
      <w:tr w:rsidR="001D3D50" w:rsidRPr="001D3D50" w14:paraId="08786D39" w14:textId="77777777" w:rsidTr="00176D8E">
        <w:tc>
          <w:tcPr>
            <w:tcW w:w="2268" w:type="dxa"/>
          </w:tcPr>
          <w:p w14:paraId="7201B626" w14:textId="77777777" w:rsidR="001D3D50" w:rsidRPr="001D3D50" w:rsidRDefault="001D3D50" w:rsidP="001D3D50">
            <w:r w:rsidRPr="001D3D50">
              <w:t>3.1</w:t>
            </w:r>
            <w:r w:rsidRPr="001D3D50">
              <w:tab/>
              <w:t>Organizacija prostora</w:t>
            </w:r>
          </w:p>
        </w:tc>
        <w:tc>
          <w:tcPr>
            <w:tcW w:w="7003" w:type="dxa"/>
          </w:tcPr>
          <w:p w14:paraId="46B5B542" w14:textId="77777777" w:rsidR="001D3D50" w:rsidRPr="001D3D50" w:rsidRDefault="001D3D50" w:rsidP="001D3D50">
            <w:r w:rsidRPr="001D3D50">
              <w:t xml:space="preserve">Prostorsko organizacijo stavbne strukture določa vrsta proizvodnje in obveznost izgradnje dejavnosti primernega manipulacijskega prostora (dovoz, skladiščenje, deponije). </w:t>
            </w:r>
            <w:r w:rsidRPr="001D3D50">
              <w:rPr>
                <w:bCs/>
              </w:rPr>
              <w:t xml:space="preserve">Upoštevanje določil primarnega, sekundarnega dela GE ter </w:t>
            </w:r>
            <w:r w:rsidRPr="001D3D50">
              <w:t>notranje dvorišče</w:t>
            </w:r>
            <w:r w:rsidRPr="001D3D50">
              <w:rPr>
                <w:bCs/>
              </w:rPr>
              <w:t xml:space="preserve"> niso obvezni. </w:t>
            </w:r>
            <w:r w:rsidRPr="001D3D50">
              <w:t xml:space="preserve">Ob upoštevanju prostorskih omejitev ter vplivov na okolje naj bodo objekti po volumnih ter tlorisnih gabaritih razmeroma homogeni. V stavbni strukturi ob javnem prostoru naj se umeščajo predvsem upravno poslovne vsebine oziroma spremljajoče dejavnosti. </w:t>
            </w:r>
          </w:p>
          <w:p w14:paraId="43F77CB8" w14:textId="77777777" w:rsidR="001D3D50" w:rsidRPr="001D3D50" w:rsidRDefault="001D3D50" w:rsidP="001D3D50">
            <w:r w:rsidRPr="001D3D50">
              <w:t xml:space="preserve">Med glavno fasado glavne stavbe in najpomembnejšega javnega prostora ne sme biti pomožnih stavb z izjemo gostinskega vrta, ki je lahko nadkrit z nadstrešnico. Kadar to dopuščajo prostorske možnosti naj bodo parkirišča locirana čim bližje upravni stavbi (ob stavbi ali za njo). </w:t>
            </w:r>
          </w:p>
        </w:tc>
      </w:tr>
      <w:tr w:rsidR="001D3D50" w:rsidRPr="001D3D50" w14:paraId="52715FFE" w14:textId="77777777" w:rsidTr="00176D8E">
        <w:tc>
          <w:tcPr>
            <w:tcW w:w="2268" w:type="dxa"/>
          </w:tcPr>
          <w:p w14:paraId="0F02D709" w14:textId="77777777" w:rsidR="001D3D50" w:rsidRPr="001D3D50" w:rsidRDefault="001D3D50" w:rsidP="001D3D50">
            <w:r w:rsidRPr="001D3D50">
              <w:t>3.2</w:t>
            </w:r>
            <w:r w:rsidRPr="001D3D50">
              <w:tab/>
              <w:t xml:space="preserve">Zelene ureditve, ograje </w:t>
            </w:r>
          </w:p>
        </w:tc>
        <w:tc>
          <w:tcPr>
            <w:tcW w:w="7003" w:type="dxa"/>
          </w:tcPr>
          <w:p w14:paraId="7B003800" w14:textId="77777777" w:rsidR="001D3D50" w:rsidRPr="001D3D50" w:rsidRDefault="001D3D50" w:rsidP="001D3D50">
            <w:r w:rsidRPr="001D3D50">
              <w:t xml:space="preserve">Zunanji robovi ureditev naj se zaključujejo z gručasto vzpostavljeno srednje in visokoraslo vegetacijo. V prostoru med osnovnim kubusom in najpomembnejšim javnim prostorom konstrukcije fizičnega varovanja (ograje, zidovi ipd.) niso dopustne. Dopustna je ograja visoka največ do </w:t>
            </w:r>
            <w:smartTag w:uri="urn:schemas-microsoft-com:office:smarttags" w:element="metricconverter">
              <w:smartTagPr>
                <w:attr w:name="ProductID" w:val="2,8 m"/>
              </w:smartTagPr>
              <w:r w:rsidRPr="001D3D50">
                <w:t>2,8 m</w:t>
              </w:r>
            </w:smartTag>
            <w:r w:rsidRPr="001D3D50">
              <w:t xml:space="preserve"> (priporočljiva žičnata). Priporočajo se druge oblike varovanja (alarmiranje, video…).</w:t>
            </w:r>
          </w:p>
        </w:tc>
      </w:tr>
      <w:tr w:rsidR="001D3D50" w:rsidRPr="001D3D50" w14:paraId="676F9398" w14:textId="77777777" w:rsidTr="00176D8E">
        <w:tc>
          <w:tcPr>
            <w:tcW w:w="2268" w:type="dxa"/>
          </w:tcPr>
          <w:p w14:paraId="627C8730" w14:textId="77777777" w:rsidR="001D3D50" w:rsidRPr="001D3D50" w:rsidRDefault="001D3D50" w:rsidP="001D3D50">
            <w:r w:rsidRPr="001D3D50">
              <w:t>3.3</w:t>
            </w:r>
            <w:r w:rsidRPr="001D3D50">
              <w:tab/>
              <w:t>Velikost GE, posebnosti parcelacije</w:t>
            </w:r>
          </w:p>
        </w:tc>
        <w:tc>
          <w:tcPr>
            <w:tcW w:w="7003" w:type="dxa"/>
          </w:tcPr>
          <w:p w14:paraId="5E5B1633" w14:textId="77777777" w:rsidR="001D3D50" w:rsidRPr="001D3D50" w:rsidRDefault="001D3D50" w:rsidP="001D3D50">
            <w:r w:rsidRPr="001D3D50">
              <w:t xml:space="preserve">Velikostni red GE je med </w:t>
            </w:r>
            <w:smartTag w:uri="urn:schemas-microsoft-com:office:smarttags" w:element="metricconverter">
              <w:smartTagPr>
                <w:attr w:name="ProductID" w:val="2000,0 in"/>
              </w:smartTagPr>
              <w:r w:rsidRPr="001D3D50">
                <w:t>2000,0 in</w:t>
              </w:r>
            </w:smartTag>
            <w:r w:rsidRPr="001D3D50">
              <w:t xml:space="preserve"> </w:t>
            </w:r>
            <w:smartTag w:uri="urn:schemas-microsoft-com:office:smarttags" w:element="metricconverter">
              <w:smartTagPr>
                <w:attr w:name="ProductID" w:val="5500,0 m2"/>
              </w:smartTagPr>
              <w:r w:rsidRPr="001D3D50">
                <w:t>5500,0 m</w:t>
              </w:r>
              <w:r w:rsidRPr="001D3D50">
                <w:rPr>
                  <w:vertAlign w:val="superscript"/>
                </w:rPr>
                <w:t>2</w:t>
              </w:r>
            </w:smartTag>
            <w:r w:rsidRPr="001D3D50">
              <w:t>.</w:t>
            </w:r>
          </w:p>
        </w:tc>
      </w:tr>
      <w:tr w:rsidR="001D3D50" w:rsidRPr="001D3D50" w14:paraId="5C67384B" w14:textId="77777777" w:rsidTr="00176D8E">
        <w:tc>
          <w:tcPr>
            <w:tcW w:w="2268" w:type="dxa"/>
          </w:tcPr>
          <w:p w14:paraId="3E7E0BBB" w14:textId="77777777" w:rsidR="001D3D50" w:rsidRPr="001D3D50" w:rsidRDefault="001D3D50" w:rsidP="001D3D50">
            <w:r w:rsidRPr="001D3D50">
              <w:t>3.4</w:t>
            </w:r>
            <w:r w:rsidRPr="001D3D50">
              <w:tab/>
              <w:t xml:space="preserve">Druge določbe </w:t>
            </w:r>
          </w:p>
        </w:tc>
        <w:tc>
          <w:tcPr>
            <w:tcW w:w="7003" w:type="dxa"/>
          </w:tcPr>
          <w:p w14:paraId="0494D2CA" w14:textId="77777777" w:rsidR="001D3D50" w:rsidRPr="001D3D50" w:rsidRDefault="001D3D50" w:rsidP="001D3D50">
            <w:r w:rsidRPr="001D3D50">
              <w:t xml:space="preserve">Na območju GE s PNRP IG veljajo merila IV. SVPH. </w:t>
            </w:r>
          </w:p>
        </w:tc>
      </w:tr>
      <w:tr w:rsidR="001D3D50" w:rsidRPr="001D3D50" w14:paraId="10A02507" w14:textId="77777777" w:rsidTr="00176D8E">
        <w:tc>
          <w:tcPr>
            <w:tcW w:w="9271" w:type="dxa"/>
            <w:gridSpan w:val="2"/>
          </w:tcPr>
          <w:p w14:paraId="7EE775D3" w14:textId="77777777" w:rsidR="001D3D50" w:rsidRPr="001D3D50" w:rsidRDefault="001D3D50" w:rsidP="001D3D50">
            <w:r w:rsidRPr="001D3D50">
              <w:t>4.0</w:t>
            </w:r>
            <w:r w:rsidRPr="001D3D50">
              <w:tab/>
              <w:t>Dopustna izraba prostora GE</w:t>
            </w:r>
          </w:p>
        </w:tc>
      </w:tr>
      <w:tr w:rsidR="001D3D50" w:rsidRPr="001D3D50" w14:paraId="2B4390DF" w14:textId="77777777" w:rsidTr="00176D8E">
        <w:tc>
          <w:tcPr>
            <w:tcW w:w="2268" w:type="dxa"/>
          </w:tcPr>
          <w:p w14:paraId="6AB93D4E" w14:textId="77777777" w:rsidR="001D3D50" w:rsidRPr="001D3D50" w:rsidRDefault="001D3D50" w:rsidP="001D3D50">
            <w:r w:rsidRPr="001D3D50">
              <w:t>4.1</w:t>
            </w:r>
            <w:r w:rsidRPr="001D3D50">
              <w:tab/>
              <w:t xml:space="preserve">stopnja izkoriščenosti, odmiki </w:t>
            </w:r>
          </w:p>
        </w:tc>
        <w:tc>
          <w:tcPr>
            <w:tcW w:w="7003" w:type="dxa"/>
          </w:tcPr>
          <w:p w14:paraId="5F71C947" w14:textId="77777777" w:rsidR="001D3D50" w:rsidRPr="001D3D50" w:rsidRDefault="001D3D50" w:rsidP="001D3D50">
            <w:r w:rsidRPr="001D3D50">
              <w:t xml:space="preserve">FZ do največ 80%. </w:t>
            </w:r>
          </w:p>
        </w:tc>
      </w:tr>
    </w:tbl>
    <w:p w14:paraId="5A1979F3" w14:textId="77777777" w:rsidR="001D3D50" w:rsidRPr="001D3D50" w:rsidRDefault="001D3D50" w:rsidP="001D3D50"/>
    <w:p w14:paraId="068E4D2C" w14:textId="77777777" w:rsidR="00282C1E" w:rsidRPr="00282C1E" w:rsidRDefault="00282C1E" w:rsidP="00282C1E">
      <w:r w:rsidRPr="00282C1E">
        <w:t>112. člen</w:t>
      </w:r>
    </w:p>
    <w:p w14:paraId="1C335060" w14:textId="77777777" w:rsidR="00282C1E" w:rsidRPr="00282C1E" w:rsidRDefault="00282C1E" w:rsidP="00282C1E">
      <w:r w:rsidRPr="00282C1E">
        <w:lastRenderedPageBreak/>
        <w:t xml:space="preserve">3.4.3.6.02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923"/>
      </w:tblGrid>
      <w:tr w:rsidR="00282C1E" w:rsidRPr="00282C1E" w14:paraId="33663024" w14:textId="77777777" w:rsidTr="00176D8E">
        <w:tc>
          <w:tcPr>
            <w:tcW w:w="0" w:type="auto"/>
            <w:gridSpan w:val="2"/>
            <w:shd w:val="clear" w:color="auto" w:fill="CCCCCC"/>
          </w:tcPr>
          <w:p w14:paraId="779F3FF9" w14:textId="77777777" w:rsidR="00282C1E" w:rsidRPr="00282C1E" w:rsidRDefault="00282C1E" w:rsidP="00282C1E">
            <w:r w:rsidRPr="00282C1E">
              <w:t>gospodarska stavba</w:t>
            </w:r>
          </w:p>
        </w:tc>
      </w:tr>
      <w:tr w:rsidR="00282C1E" w:rsidRPr="00282C1E" w14:paraId="188E6FA5" w14:textId="77777777" w:rsidTr="00176D8E">
        <w:tc>
          <w:tcPr>
            <w:tcW w:w="2185" w:type="dxa"/>
          </w:tcPr>
          <w:p w14:paraId="72519224" w14:textId="77777777" w:rsidR="00282C1E" w:rsidRPr="00282C1E" w:rsidRDefault="00282C1E" w:rsidP="00282C1E">
            <w:r w:rsidRPr="00282C1E">
              <w:t>Osnovni kubus glavne stavbe</w:t>
            </w:r>
          </w:p>
          <w:p w14:paraId="3E6070B4" w14:textId="77777777" w:rsidR="00282C1E" w:rsidRPr="00282C1E" w:rsidRDefault="00282C1E" w:rsidP="00282C1E"/>
        </w:tc>
        <w:tc>
          <w:tcPr>
            <w:tcW w:w="7260" w:type="dxa"/>
          </w:tcPr>
          <w:p w14:paraId="14D08C86" w14:textId="77777777" w:rsidR="00282C1E" w:rsidRPr="00282C1E" w:rsidRDefault="00282C1E" w:rsidP="00282C1E">
            <w:r w:rsidRPr="00282C1E">
              <w:t xml:space="preserve">Optimalno široka </w:t>
            </w:r>
            <w:smartTag w:uri="urn:schemas-microsoft-com:office:smarttags" w:element="metricconverter">
              <w:smartTagPr>
                <w:attr w:name="ProductID" w:val="15,0 m"/>
              </w:smartTagPr>
              <w:r w:rsidRPr="00282C1E">
                <w:t>15,0 m</w:t>
              </w:r>
            </w:smartTag>
            <w:r w:rsidRPr="00282C1E">
              <w:t xml:space="preserve"> in največ </w:t>
            </w:r>
            <w:smartTag w:uri="urn:schemas-microsoft-com:office:smarttags" w:element="metricconverter">
              <w:smartTagPr>
                <w:attr w:name="ProductID" w:val="25,0 m"/>
              </w:smartTagPr>
              <w:r w:rsidRPr="00282C1E">
                <w:t>25,0 m</w:t>
              </w:r>
            </w:smartTag>
            <w:r w:rsidRPr="00282C1E">
              <w:t xml:space="preserve">, pri čemer mora biti razmerje stranic širine:dolžini od 2:3 do 1:3. Pri stavbah, ki so ožje od </w:t>
            </w:r>
            <w:smartTag w:uri="urn:schemas-microsoft-com:office:smarttags" w:element="metricconverter">
              <w:smartTagPr>
                <w:attr w:name="ProductID" w:val="15,0 m"/>
              </w:smartTagPr>
              <w:r w:rsidRPr="00282C1E">
                <w:t>15,0 m</w:t>
              </w:r>
            </w:smartTag>
            <w:r w:rsidRPr="00282C1E">
              <w:t xml:space="preserve">, je dopustno razmerje od 1:1 do 1:3. Visoka do največ E3. To ne velja za dele stavb ali objekte,ki so zaradi funkcionalnih zahtev izrazito višji (tovarniški dimniki, silosi ipd.). </w:t>
            </w:r>
          </w:p>
          <w:p w14:paraId="1FABB012" w14:textId="77777777" w:rsidR="00282C1E" w:rsidRPr="00282C1E" w:rsidRDefault="00282C1E" w:rsidP="00282C1E">
            <w:r w:rsidRPr="00282C1E">
              <w:t>Ob upoštevanju prostorskih omejitev ter vplivov na okolje naj bodo objekti po volumnih ter tlorisni gabaritih razmeroma homogeni. V glavni stavbi naj se umeščajo predvsem upravno poslovne vsebine oziroma spremljajoče dejavnosti.</w:t>
            </w:r>
          </w:p>
        </w:tc>
      </w:tr>
      <w:tr w:rsidR="00282C1E" w:rsidRPr="00282C1E" w14:paraId="6E83DC28" w14:textId="77777777" w:rsidTr="00176D8E">
        <w:tc>
          <w:tcPr>
            <w:tcW w:w="2185" w:type="dxa"/>
          </w:tcPr>
          <w:p w14:paraId="2B5DBCE6" w14:textId="77777777" w:rsidR="00282C1E" w:rsidRPr="00282C1E" w:rsidRDefault="00282C1E" w:rsidP="00282C1E">
            <w:r w:rsidRPr="00282C1E">
              <w:t>Sekundarni kubusi glavne stavbe</w:t>
            </w:r>
          </w:p>
          <w:p w14:paraId="4624809F" w14:textId="77777777" w:rsidR="00282C1E" w:rsidRPr="00282C1E" w:rsidRDefault="00282C1E" w:rsidP="00282C1E"/>
        </w:tc>
        <w:tc>
          <w:tcPr>
            <w:tcW w:w="7260" w:type="dxa"/>
          </w:tcPr>
          <w:p w14:paraId="01672F07" w14:textId="77777777" w:rsidR="00282C1E" w:rsidRPr="00282C1E" w:rsidRDefault="00282C1E" w:rsidP="00282C1E">
            <w:r w:rsidRPr="00282C1E">
              <w:t>Dopustna je izgradnja sekundarnega kubusa po splošnih merilih glavne stavbe ter nadstreška in lože. Organizirani so lahko le na straneh, ki ne mejijo na javni prostor z izjemo nadstreška in lože, ki sta dopustna na vseh fasadah.</w:t>
            </w:r>
          </w:p>
        </w:tc>
      </w:tr>
      <w:tr w:rsidR="00282C1E" w:rsidRPr="00282C1E" w14:paraId="3DFCEEF6" w14:textId="77777777" w:rsidTr="00176D8E">
        <w:tc>
          <w:tcPr>
            <w:tcW w:w="2185" w:type="dxa"/>
          </w:tcPr>
          <w:p w14:paraId="53A1E8B6" w14:textId="77777777" w:rsidR="00282C1E" w:rsidRPr="00282C1E" w:rsidRDefault="00282C1E" w:rsidP="00282C1E">
            <w:r w:rsidRPr="00282C1E">
              <w:t>Namembnost stavbe</w:t>
            </w:r>
          </w:p>
          <w:p w14:paraId="05696F01" w14:textId="77777777" w:rsidR="00282C1E" w:rsidRPr="00282C1E" w:rsidRDefault="00282C1E" w:rsidP="00282C1E"/>
        </w:tc>
        <w:tc>
          <w:tcPr>
            <w:tcW w:w="7260" w:type="dxa"/>
          </w:tcPr>
          <w:p w14:paraId="38D42785" w14:textId="77777777" w:rsidR="00282C1E" w:rsidRPr="00282C1E" w:rsidRDefault="00282C1E" w:rsidP="00282C1E">
            <w:r w:rsidRPr="00282C1E">
              <w:t xml:space="preserve">Namenjena je sekundarni, terciarni in kvartarni dejavnosti ter skladiščenju. Na GE povezanimi s pridobivanjem mineralnih surovin namenjena tudi dejavnosti primarnega sektorja (rudarstvu). Bivanje v njej ni dopustno. </w:t>
            </w:r>
          </w:p>
        </w:tc>
      </w:tr>
      <w:tr w:rsidR="00282C1E" w:rsidRPr="00282C1E" w14:paraId="3B5BB007" w14:textId="77777777" w:rsidTr="00176D8E">
        <w:tc>
          <w:tcPr>
            <w:tcW w:w="2185" w:type="dxa"/>
          </w:tcPr>
          <w:p w14:paraId="2B681E72" w14:textId="77777777" w:rsidR="00282C1E" w:rsidRPr="00282C1E" w:rsidRDefault="00282C1E" w:rsidP="00282C1E">
            <w:r w:rsidRPr="00282C1E">
              <w:t>Dopustne vrste objektov po CC-SI</w:t>
            </w:r>
          </w:p>
        </w:tc>
        <w:tc>
          <w:tcPr>
            <w:tcW w:w="7260" w:type="dxa"/>
          </w:tcPr>
          <w:p w14:paraId="5464D567" w14:textId="77777777" w:rsidR="00282C1E" w:rsidRPr="00282C1E" w:rsidRDefault="00282C1E" w:rsidP="00282C1E">
            <w:r w:rsidRPr="00282C1E">
              <w:t>12510 Industrijske stavbe; 12520 Rezervoarji, silosi in skladišča; 12711 Stavbe za rastlinsko predelavo; 12712 Stavbe za rejo živali; 12713 Stavbe za spravilo pridelka; 12714 Druge nestanovanjske kmetijske stavbe; 12203 Druge upravne in pisarniške stavbe (razen konferenčne in kongresne stavbe), 12342 Garažne stavbe, 23023 kompleksni industrijski objekti, 12112 Gostilne, restavracije in točilnice; 12201 Stavbe javne uprave (razen sodišč, parlamenta, policijske postaje, stavb občin); 12202 Stavbe bank, pošt, zavarovalnic; 12203 Druge upravne in pisarniške stavbe (razen konferenčnih in kongresnih stavbe); 12301 Trgovske stavbe; 12304 Stavbe za druge storitvene dejavnosti; 12620 Muzeji in knjižnice, 12630 Stavbe za izobraževanje in znanstveno raziskovalno delo; 12640 Stavbe za zdravstvo; 12650 Športne dvorane,  241 Objekti za šport in rekreacijo in drugi objekti za prosti čas, 24 Drugi gradbeno inženirski objekti,  24122 Drugi gradbeni inženirski objekti za šport rekreacijo in prosti čas.</w:t>
            </w:r>
          </w:p>
        </w:tc>
      </w:tr>
      <w:tr w:rsidR="00282C1E" w:rsidRPr="00282C1E" w14:paraId="06553E82" w14:textId="77777777" w:rsidTr="00176D8E">
        <w:tc>
          <w:tcPr>
            <w:tcW w:w="2185" w:type="dxa"/>
          </w:tcPr>
          <w:p w14:paraId="477CCDB1" w14:textId="77777777" w:rsidR="00282C1E" w:rsidRPr="00282C1E" w:rsidRDefault="00282C1E" w:rsidP="00282C1E">
            <w:r w:rsidRPr="00282C1E">
              <w:t>Posebnosti oblikovanja fasad</w:t>
            </w:r>
          </w:p>
        </w:tc>
        <w:tc>
          <w:tcPr>
            <w:tcW w:w="7260" w:type="dxa"/>
          </w:tcPr>
          <w:p w14:paraId="19EBCE47" w14:textId="77777777" w:rsidR="00282C1E" w:rsidRPr="00282C1E" w:rsidRDefault="00282C1E" w:rsidP="00282C1E">
            <w:r w:rsidRPr="00282C1E">
              <w:t xml:space="preserve">Fasade naj bodo oblikovane izrazito enostavno in racionalno. Dopustno je stavbno pohištvo v beli barvi in barvi kovin. Dopustne so slepe in steklene (antirefleksijske) fasade. </w:t>
            </w:r>
          </w:p>
        </w:tc>
      </w:tr>
      <w:tr w:rsidR="00282C1E" w:rsidRPr="00282C1E" w14:paraId="48B685E6" w14:textId="77777777" w:rsidTr="00176D8E">
        <w:tc>
          <w:tcPr>
            <w:tcW w:w="2185" w:type="dxa"/>
          </w:tcPr>
          <w:p w14:paraId="0F4BA3FF" w14:textId="77777777" w:rsidR="00282C1E" w:rsidRPr="00282C1E" w:rsidRDefault="00282C1E" w:rsidP="00282C1E">
            <w:r w:rsidRPr="00282C1E">
              <w:t>Streha osnovnega kubusa stavbe</w:t>
            </w:r>
          </w:p>
          <w:p w14:paraId="63DF2BE6" w14:textId="77777777" w:rsidR="00282C1E" w:rsidRPr="00282C1E" w:rsidRDefault="00282C1E" w:rsidP="00282C1E"/>
        </w:tc>
        <w:tc>
          <w:tcPr>
            <w:tcW w:w="7260" w:type="dxa"/>
          </w:tcPr>
          <w:p w14:paraId="03A41497" w14:textId="77777777" w:rsidR="00282C1E" w:rsidRPr="00282C1E" w:rsidRDefault="00282C1E" w:rsidP="00282C1E">
            <w:r w:rsidRPr="00282C1E">
              <w:t xml:space="preserve">Streha z naklonom - tip dvokapna streha, enokapna streha z naklonom najmanj 20° obe praviloma brez strešnih izzidkov ter frčad. Iz konstrukcijskih, funkcionalnih zasnov je dopustna tudi izvedba ravnih, stopničastih in ločenih streh ter kombinacija vseh tipov streh. Strehe obstoječih objektov z nižjim naklonom lahko ohranijo obstoječ naklon strehe. </w:t>
            </w:r>
          </w:p>
        </w:tc>
      </w:tr>
    </w:tbl>
    <w:p w14:paraId="1D3BA65E" w14:textId="77777777" w:rsidR="00282C1E" w:rsidRPr="00282C1E" w:rsidRDefault="00282C1E" w:rsidP="00282C1E"/>
    <w:p w14:paraId="7C94A8DA" w14:textId="77777777" w:rsidR="00282C1E" w:rsidRPr="00282C1E" w:rsidRDefault="00282C1E" w:rsidP="00282C1E">
      <w:r w:rsidRPr="00282C1E">
        <w:lastRenderedPageBreak/>
        <w:t>115. člen</w:t>
      </w:r>
    </w:p>
    <w:p w14:paraId="6E1E9EB7" w14:textId="77777777" w:rsidR="00282C1E" w:rsidRPr="00282C1E" w:rsidRDefault="00282C1E" w:rsidP="00282C1E">
      <w:r w:rsidRPr="00282C1E">
        <w:t xml:space="preserve">3.4.3.6.05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6949"/>
      </w:tblGrid>
      <w:tr w:rsidR="00282C1E" w:rsidRPr="00282C1E" w14:paraId="69946C15" w14:textId="77777777" w:rsidTr="00176D8E">
        <w:tc>
          <w:tcPr>
            <w:tcW w:w="0" w:type="auto"/>
            <w:gridSpan w:val="2"/>
            <w:shd w:val="clear" w:color="auto" w:fill="CCCCCC"/>
          </w:tcPr>
          <w:p w14:paraId="27BBC57F" w14:textId="77777777" w:rsidR="00282C1E" w:rsidRPr="00282C1E" w:rsidRDefault="00282C1E" w:rsidP="00282C1E">
            <w:r w:rsidRPr="00282C1E">
              <w:t>modernistična javna stavba</w:t>
            </w:r>
          </w:p>
        </w:tc>
      </w:tr>
      <w:tr w:rsidR="00282C1E" w:rsidRPr="00282C1E" w14:paraId="773E3CB8" w14:textId="77777777" w:rsidTr="00176D8E">
        <w:tc>
          <w:tcPr>
            <w:tcW w:w="2162" w:type="dxa"/>
          </w:tcPr>
          <w:p w14:paraId="7E033E63" w14:textId="77777777" w:rsidR="00282C1E" w:rsidRPr="00282C1E" w:rsidRDefault="00282C1E" w:rsidP="00282C1E">
            <w:r w:rsidRPr="00282C1E">
              <w:t>Osnovni kubus glavne stavbe</w:t>
            </w:r>
          </w:p>
          <w:p w14:paraId="5D7D5738" w14:textId="77777777" w:rsidR="00282C1E" w:rsidRPr="00282C1E" w:rsidRDefault="00282C1E" w:rsidP="00282C1E"/>
        </w:tc>
        <w:tc>
          <w:tcPr>
            <w:tcW w:w="7283" w:type="dxa"/>
          </w:tcPr>
          <w:p w14:paraId="2C87F7E8" w14:textId="77777777" w:rsidR="00282C1E" w:rsidRPr="00282C1E" w:rsidRDefault="00282C1E" w:rsidP="00282C1E">
            <w:r w:rsidRPr="00282C1E">
              <w:t xml:space="preserve">Tlorisni gabariti niso poenoteno predpisani. Visoka je lahko največ tri etaže (do E3). V izjemnih primerih je dopusten višji višinski gabarit stavbe, če se v upravnem postopku s posebno utemeljitvijo dokaže da višinski gabarit ne povzroča degradacij v predmetnem prostoru. Na obstoječi stavbni strukturi, na strani glavne fasade (ob najpomembnejšem javnem prostoru) širitve niso dopustne - razen v primerih ko je posebej utemeljeno da dopolnitev do opredeljenih gradbenih linij ne povzroča negativnih vplivov na okoliško stavbno strukturo </w:t>
            </w:r>
          </w:p>
        </w:tc>
      </w:tr>
      <w:tr w:rsidR="00282C1E" w:rsidRPr="00282C1E" w14:paraId="669A543A" w14:textId="77777777" w:rsidTr="00176D8E">
        <w:tc>
          <w:tcPr>
            <w:tcW w:w="2162" w:type="dxa"/>
          </w:tcPr>
          <w:p w14:paraId="29AC5CF3" w14:textId="77777777" w:rsidR="00282C1E" w:rsidRPr="00282C1E" w:rsidRDefault="00282C1E" w:rsidP="00282C1E">
            <w:r w:rsidRPr="00282C1E">
              <w:t>Sekundarni kubusi glavne stavbe</w:t>
            </w:r>
          </w:p>
        </w:tc>
        <w:tc>
          <w:tcPr>
            <w:tcW w:w="7283" w:type="dxa"/>
          </w:tcPr>
          <w:p w14:paraId="5476A4BA" w14:textId="77777777" w:rsidR="00282C1E" w:rsidRPr="00282C1E" w:rsidRDefault="00282C1E" w:rsidP="00282C1E">
            <w:r w:rsidRPr="00282C1E">
              <w:t>Dopustni so vsi posebni sekundarni kubusi na vseh fasadah. V območju javnega prostora naj bodo oblikovani tako, da so ostalim arhitekturnim elementom glavne fasade izrazito podrejeni.</w:t>
            </w:r>
          </w:p>
        </w:tc>
      </w:tr>
      <w:tr w:rsidR="00282C1E" w:rsidRPr="00282C1E" w14:paraId="4956491A" w14:textId="77777777" w:rsidTr="00176D8E">
        <w:tc>
          <w:tcPr>
            <w:tcW w:w="2162" w:type="dxa"/>
          </w:tcPr>
          <w:p w14:paraId="499E1B0C" w14:textId="77777777" w:rsidR="00282C1E" w:rsidRPr="00282C1E" w:rsidRDefault="00282C1E" w:rsidP="00282C1E">
            <w:r w:rsidRPr="00282C1E">
              <w:t>Namembnost stavbe</w:t>
            </w:r>
          </w:p>
        </w:tc>
        <w:tc>
          <w:tcPr>
            <w:tcW w:w="7283" w:type="dxa"/>
          </w:tcPr>
          <w:p w14:paraId="51807D5D" w14:textId="77777777" w:rsidR="00282C1E" w:rsidRPr="00282C1E" w:rsidRDefault="00282C1E" w:rsidP="00282C1E">
            <w:r w:rsidRPr="00282C1E">
              <w:t xml:space="preserve">Namenjene kvartarnim, terciarnim dejavnostim ter sekundarnim dejavnostim - le obrti in obrti podobnih dejavnosti do največ 50 % BTP in bivanju. Bivanje naj bo izven etaže v nivoju javnega prostora.  </w:t>
            </w:r>
          </w:p>
        </w:tc>
      </w:tr>
      <w:tr w:rsidR="00282C1E" w:rsidRPr="00282C1E" w14:paraId="33B7358E" w14:textId="77777777" w:rsidTr="00176D8E">
        <w:trPr>
          <w:trHeight w:val="2688"/>
        </w:trPr>
        <w:tc>
          <w:tcPr>
            <w:tcW w:w="2162" w:type="dxa"/>
            <w:shd w:val="clear" w:color="auto" w:fill="auto"/>
          </w:tcPr>
          <w:p w14:paraId="0E3F4F01" w14:textId="77777777" w:rsidR="00282C1E" w:rsidRPr="00282C1E" w:rsidRDefault="00282C1E" w:rsidP="00282C1E">
            <w:r w:rsidRPr="00282C1E">
              <w:t>Dopustne vrste objektov po CC-SI</w:t>
            </w:r>
          </w:p>
        </w:tc>
        <w:tc>
          <w:tcPr>
            <w:tcW w:w="7283" w:type="dxa"/>
          </w:tcPr>
          <w:p w14:paraId="2DC683B3" w14:textId="77777777" w:rsidR="00282C1E" w:rsidRPr="00282C1E" w:rsidRDefault="00282C1E" w:rsidP="00282C1E">
            <w:r w:rsidRPr="00282C1E">
              <w:t>12112 Gostilne, restavracije in točilnice; 12120 Druge gostinske stavbe za kratkotrajno nastanitev; 12201 Stavbe javne uprave; 12202 Stavbe bank, pošt, zavarovalnic; 12203 Druge upravne in pisarniške stavbe; 12301 Trgovske stavbe; 12304 Stavbe za druge storitvene dejavnosti; 12610 Stavbe za kulturo in razvedrilo (razen paviljonov za stavbe za živali in rastline v živalskih in botaničnih vrtovih); 12620 Muzeji in knjižnice; 12630 Stavbe za izobraževanje in znanstvenoraziskovalno delo; 12640 Stavbe za zdravstvo; 12650 Športne dvorane - stavbe za šport; 12740 Druge nestanovanjske stavbe, ki niso uvrščene drugje (razen nadstrešnic za potnike na avtobusih in drugih postajališčih, javnih sanitarij in podobnega); 1242 Garažne stavbe; 11210 Dvostanovanjska; 11221 Tri in večstanovanjske stavbe (razen stanovanjskih blokov in stolpnic; 241 Objekti za šport in rekreacijo in drugi objekti za prosti čas; 12740 Druge nestanovanjske stavbe; 24122 Drugi gradbeni inženirski objekti za šport rekreacijo in prosti čas; 12510 Industrijske stavbe; 12520 Rezervoarji, silosi in skladišča za potrebe osnovne dejavnosti objekta.</w:t>
            </w:r>
          </w:p>
        </w:tc>
      </w:tr>
      <w:tr w:rsidR="00282C1E" w:rsidRPr="00282C1E" w14:paraId="5E005989" w14:textId="77777777" w:rsidTr="00176D8E">
        <w:trPr>
          <w:trHeight w:val="1064"/>
        </w:trPr>
        <w:tc>
          <w:tcPr>
            <w:tcW w:w="2162" w:type="dxa"/>
            <w:shd w:val="clear" w:color="auto" w:fill="auto"/>
          </w:tcPr>
          <w:p w14:paraId="168E6606" w14:textId="77777777" w:rsidR="00282C1E" w:rsidRPr="00282C1E" w:rsidRDefault="00282C1E" w:rsidP="00282C1E">
            <w:r w:rsidRPr="00282C1E">
              <w:t>Posebnosti oblikovanja fasad</w:t>
            </w:r>
          </w:p>
          <w:p w14:paraId="6FECBB0F" w14:textId="77777777" w:rsidR="00282C1E" w:rsidRPr="00282C1E" w:rsidRDefault="00282C1E" w:rsidP="00282C1E"/>
        </w:tc>
        <w:tc>
          <w:tcPr>
            <w:tcW w:w="7283" w:type="dxa"/>
          </w:tcPr>
          <w:p w14:paraId="67D12835" w14:textId="77777777" w:rsidR="00282C1E" w:rsidRPr="00282C1E" w:rsidRDefault="00282C1E" w:rsidP="00282C1E">
            <w:r w:rsidRPr="00282C1E">
              <w:t>Oblikovanje (horizontalna in vertikalna členitev) fasad ter strukturiranje fasadnih odprtin in drugih fasadnih elementov naj bo enostavno in poenoteno. Fasada naj se oblikuje v skladu s potrebami dejavnosti in  naj bodo oblikovane tako, da prezentirajo vsebine stavbe. V urbanem naselju naj bo oblikovanje sodobno, v podeželskem naj se oblikovanje fasadnih odprtin prilagodi območju v katerega se umešča. Dopustne so slepe in steklene fasade. Slednje le brez refleksnih odbojev. Stavbno pohištvo je dovoljeno tudi v beli barvi oziroma barvah kovin.</w:t>
            </w:r>
          </w:p>
        </w:tc>
      </w:tr>
      <w:tr w:rsidR="00282C1E" w:rsidRPr="00282C1E" w14:paraId="25848C82" w14:textId="77777777" w:rsidTr="00176D8E">
        <w:tc>
          <w:tcPr>
            <w:tcW w:w="2162" w:type="dxa"/>
          </w:tcPr>
          <w:p w14:paraId="4E77C645" w14:textId="77777777" w:rsidR="00282C1E" w:rsidRPr="00282C1E" w:rsidRDefault="00282C1E" w:rsidP="00282C1E">
            <w:r w:rsidRPr="00282C1E">
              <w:t>Streha osnovnega kubusa stavbe</w:t>
            </w:r>
          </w:p>
        </w:tc>
        <w:tc>
          <w:tcPr>
            <w:tcW w:w="7283" w:type="dxa"/>
          </w:tcPr>
          <w:p w14:paraId="63FE1550" w14:textId="77777777" w:rsidR="00282C1E" w:rsidRPr="00282C1E" w:rsidRDefault="00282C1E" w:rsidP="00282C1E">
            <w:r w:rsidRPr="00282C1E">
              <w:t xml:space="preserve">Oblikovanje strehe ni poenoteno predpisano, vendar se je treba z obliko, naklonom in kritino streh skladno integrirati v okoliško stavbno strukturo. </w:t>
            </w:r>
          </w:p>
        </w:tc>
      </w:tr>
    </w:tbl>
    <w:p w14:paraId="0558FC2E" w14:textId="45758820" w:rsidR="00282C1E" w:rsidRPr="00282C1E" w:rsidRDefault="00282C1E" w:rsidP="00282C1E"/>
    <w:p w14:paraId="3F7BFC8E" w14:textId="77777777" w:rsidR="001D3D50" w:rsidRDefault="001D3D50"/>
    <w:sectPr w:rsidR="001D3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50"/>
    <w:rsid w:val="00023BFB"/>
    <w:rsid w:val="001D3D50"/>
    <w:rsid w:val="00282C1E"/>
    <w:rsid w:val="007A1444"/>
    <w:rsid w:val="00C528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215192"/>
  <w15:chartTrackingRefBased/>
  <w15:docId w15:val="{FD644957-BE99-4E34-860C-206BA40A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qFormat/>
    <w:rsid w:val="001D3D5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Znak">
    <w:name w:val="Naslov Znak"/>
    <w:basedOn w:val="Privzetapisavaodstavka"/>
    <w:link w:val="Naslov"/>
    <w:rsid w:val="001D3D5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1484</Words>
  <Characters>8462</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Obcina Hrastnik</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Sajovic</dc:creator>
  <cp:keywords/>
  <dc:description/>
  <cp:lastModifiedBy>Marija Sajovic</cp:lastModifiedBy>
  <cp:revision>2</cp:revision>
  <dcterms:created xsi:type="dcterms:W3CDTF">2022-04-07T12:22:00Z</dcterms:created>
  <dcterms:modified xsi:type="dcterms:W3CDTF">2022-04-07T12:36:00Z</dcterms:modified>
</cp:coreProperties>
</file>